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Порядок действий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производителя электрической энергии (мощности), намеренного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заключить договор купли-продажи электрической энергии (мощности) с ООО «Единый закупщик» в отношении объекта по производству электрической энергии с максимальной мощностью более 15 киловатт</w:t>
      </w:r>
    </w:p>
    <w:p>
      <w:pPr>
        <w:pStyle w:val="ListParagraph"/>
        <w:numPr>
          <w:ilvl w:val="0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Зарегистрироваться в качестве Индивидуального предпринимателя (ИП) — физического лица, зарегистрированного в установленном законом порядке и осуществляющего предпринимательскую деятельность без образования юридического лица в ФНС РФ (подробнее: </w:t>
      </w:r>
      <w:hyperlink r:id="rId2">
        <w:r>
          <w:rPr>
            <w:rStyle w:val="-"/>
            <w:rFonts w:cs="Times New Roman" w:ascii="Times New Roman" w:hAnsi="Times New Roman"/>
            <w:sz w:val="26"/>
            <w:szCs w:val="26"/>
          </w:rPr>
          <w:t>https://service.nalog.ru/gosreg/intro.html?sfrd=21001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), </w:t>
        <w:br/>
        <w:t xml:space="preserve">либо в качестве юридического лица (подробнее: 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</w:rPr>
          <w:t>https://www.nalog.gov.ru/rn90/yul/interest/reg_yl/register/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 ).</w:t>
      </w:r>
    </w:p>
    <w:p>
      <w:pPr>
        <w:pStyle w:val="ListParagraph"/>
        <w:numPr>
          <w:ilvl w:val="0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порядке, предусмотренном </w:t>
      </w:r>
      <w:r>
        <w:rPr>
          <w:rFonts w:ascii="Times New Roman" w:hAnsi="Times New Roman"/>
          <w:sz w:val="26"/>
          <w:szCs w:val="26"/>
          <w:u w:val="single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ПП РФ от 27.12.2004 № 861)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8"/>
        </w:rPr>
        <w:t xml:space="preserve"> о</w:t>
      </w:r>
      <w:r>
        <w:rPr>
          <w:rFonts w:cs="Times New Roman" w:ascii="Times New Roman" w:hAnsi="Times New Roman"/>
          <w:sz w:val="26"/>
          <w:szCs w:val="26"/>
        </w:rPr>
        <w:t xml:space="preserve">братиться в сетевую организацию, к сетям которой планируется присоединение (ранее осуществлено присоединение) </w:t>
      </w:r>
      <w:r>
        <w:rPr>
          <w:rFonts w:ascii="Times New Roman" w:hAnsi="Times New Roman"/>
          <w:color w:val="000000"/>
          <w:sz w:val="26"/>
          <w:szCs w:val="26"/>
        </w:rPr>
        <w:t xml:space="preserve">принадлежащих производителю электрической энергии (мощности) на праве собственности или на ином законном основании объектов по производству электрической энергии (мощности), с заявкой об осуществлении технологического присоединения к электрическим сетям объектов по производству электрической энергии (мощности) (восстановлении (переоформлении) документов о технологическом присоединении ранее присоединенных объектов по </w:t>
      </w:r>
      <w:r>
        <w:rPr>
          <w:rFonts w:cs="Times New Roman" w:ascii="Times New Roman" w:hAnsi="Times New Roman"/>
          <w:sz w:val="26"/>
          <w:szCs w:val="26"/>
        </w:rPr>
        <w:t xml:space="preserve">производству электрической энергии (мощности)). </w:t>
      </w:r>
    </w:p>
    <w:p>
      <w:pPr>
        <w:pStyle w:val="ListParagraph"/>
        <w:numPr>
          <w:ilvl w:val="0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После получения актов об осуществлении технологического присоединения обратиться в адрес органов исполнительной власти соответствующих субъектов Российской Федерации в области государственного регулирования тарифов (п. 5 настоящего порядка) с заявлением об установление цен (тарифов) в отношении генерирующих объектов заявителя.</w:t>
      </w:r>
    </w:p>
    <w:p>
      <w:pPr>
        <w:pStyle w:val="ListParagraph"/>
        <w:numPr>
          <w:ilvl w:val="0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После утверждения тарифа (цены) на электрическую электроэнергию (мощность), поставляемую производителем электрической энергии, в целях заключения договора купли –продажи электрической энергии (мощности) обратиться в ООО «Единый закупщик» с заявлением о заключении договора. В заявлении должны быть указаны реквизиты заявителя, приведены перечень точек поставки и плановые объемы производства электрической энергии с помесячной разбивкой на период действия тарифного решения, а также приложены следующие, надлежащим образом заверенные документы: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объекты по производству электрической энергии.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Документы, подтверждающие полномочия лица, подписавшего заявление от имени заявителя, -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предприниматель.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Документы, подтверждающие технологическое присоединение энергопринимающих устройств и объектов по производству электрической энергии (мощности) в установленном порядке к объектам электросетевого хозяйства сетевой организации (Акты об осуществлении технологического присоединения).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о допуске в эксплуатацию приборов учета электроэнергии, выданные сетевой организацией. При этом подлежат использованию приборы учета класса точности 0,5S и выше, которые позволяют измерять почасовые объемы принятой и отданной электрической энергии и обеспечивать хранение данных о почасовых объемах за последние 90 дней и более.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Документы, подтверждающие наличие действующей метрологической поверки на средства измерений (счетчики, измерительные трансформаторы тока и напряжения).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Паспорта или характеристики генерирующего оборудования.</w:t>
      </w:r>
    </w:p>
    <w:p>
      <w:pPr>
        <w:pStyle w:val="ListParagraph"/>
        <w:numPr>
          <w:ilvl w:val="0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Контакты органов исполнительной власти субъектов Российской Федерации в области государственного регулирования тарифов: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Республиканская служба по тарифам Донецкой Народной Республики, контакты:</w:t>
      </w:r>
      <w:r>
        <w:rPr>
          <w:sz w:val="26"/>
          <w:szCs w:val="26"/>
        </w:rPr>
        <w:t xml:space="preserve"> </w:t>
      </w:r>
      <w:hyperlink r:id="rId4">
        <w:r>
          <w:rPr>
            <w:rStyle w:val="-"/>
            <w:rFonts w:cs="Times New Roman" w:ascii="Times New Roman" w:hAnsi="Times New Roman"/>
            <w:sz w:val="26"/>
            <w:szCs w:val="26"/>
          </w:rPr>
          <w:t>http://rst-dnr.ru/contacts/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;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5">
        <w:r>
          <w:rPr>
            <w:rFonts w:cs="Times New Roman" w:ascii="Times New Roman" w:hAnsi="Times New Roman"/>
            <w:sz w:val="26"/>
            <w:szCs w:val="26"/>
          </w:rPr>
          <w:t>Комитет тарифного и ценового регулирования Луганской Народной Республики</w:t>
        </w:r>
      </w:hyperlink>
      <w:r>
        <w:rPr>
          <w:rFonts w:cs="Times New Roman" w:ascii="Times New Roman" w:hAnsi="Times New Roman"/>
          <w:sz w:val="26"/>
          <w:szCs w:val="26"/>
        </w:rPr>
        <w:t xml:space="preserve">, контакты: </w:t>
      </w:r>
      <w:hyperlink r:id="rId6">
        <w:r>
          <w:rPr>
            <w:rStyle w:val="-"/>
            <w:rFonts w:cs="Times New Roman" w:ascii="Times New Roman" w:hAnsi="Times New Roman"/>
            <w:sz w:val="26"/>
            <w:szCs w:val="26"/>
          </w:rPr>
          <w:t>https://ktcr.lpr-reg.ru/contacts.html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;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Комитет тарифного регулирования Запорожской области, контакты:</w:t>
      </w:r>
      <w:r>
        <w:rPr>
          <w:sz w:val="26"/>
          <w:szCs w:val="26"/>
        </w:rPr>
        <w:t xml:space="preserve"> </w:t>
      </w:r>
      <w:hyperlink r:id="rId7">
        <w:r>
          <w:rPr>
            <w:rStyle w:val="-"/>
            <w:rFonts w:cs="Times New Roman" w:ascii="Times New Roman" w:hAnsi="Times New Roman"/>
            <w:sz w:val="26"/>
            <w:szCs w:val="26"/>
          </w:rPr>
          <w:t>https://zo.gov.ru/docs/show_group/ministerstvo_po_tarifam_i_cenovomu_regulirovaniyu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;</w:t>
      </w:r>
    </w:p>
    <w:p>
      <w:pPr>
        <w:pStyle w:val="ListParagraph"/>
        <w:numPr>
          <w:ilvl w:val="1"/>
          <w:numId w:val="1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Служба цен и тарифов Херсонской области, контакты: </w:t>
      </w:r>
      <w:hyperlink r:id="rId8">
        <w:r>
          <w:rPr>
            <w:rStyle w:val="-"/>
            <w:rFonts w:cs="Times New Roman" w:ascii="Times New Roman" w:hAnsi="Times New Roman"/>
            <w:sz w:val="26"/>
            <w:szCs w:val="26"/>
          </w:rPr>
          <w:t>https://gov.khogov.ru/documentation/npaisp/rasporyazheniya-sluzhby-czen-i-tarifov-hersonskoj-oblasti/</w:t>
        </w:r>
      </w:hyperlink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ConsPlusNormal"/>
        <w:spacing w:before="240" w:after="0"/>
        <w:ind w:firstLine="540"/>
        <w:jc w:val="both"/>
        <w:rPr/>
      </w:pPr>
      <w:r>
        <w:rPr/>
      </w:r>
    </w:p>
    <w:p>
      <w:pPr>
        <w:pStyle w:val="ListParagraph"/>
        <w:spacing w:before="240" w:after="0"/>
        <w:ind w:left="106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566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8f101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2f0f2d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8f101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17811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0f20a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rvice.nalog.ru/gosreg/intro.html?sfrd=21001" TargetMode="External"/><Relationship Id="rId3" Type="http://schemas.openxmlformats.org/officeDocument/2006/relationships/hyperlink" Target="https://www.nalog.gov.ru/rn90/yul/interest/reg_yl/register/" TargetMode="External"/><Relationship Id="rId4" Type="http://schemas.openxmlformats.org/officeDocument/2006/relationships/hyperlink" Target="http://rst-dnr.ru/contacts/" TargetMode="External"/><Relationship Id="rId5" Type="http://schemas.openxmlformats.org/officeDocument/2006/relationships/hyperlink" Target="https://ktcr.lpr-reg.ru/" TargetMode="External"/><Relationship Id="rId6" Type="http://schemas.openxmlformats.org/officeDocument/2006/relationships/hyperlink" Target="https://ktcr.lpr-reg.ru/contacts.html" TargetMode="External"/><Relationship Id="rId7" Type="http://schemas.openxmlformats.org/officeDocument/2006/relationships/hyperlink" Target="https://zo.gov.ru/docs/show_group/ministerstvo_po_tarifam_i_cenovomu_regulirovaniyu" TargetMode="External"/><Relationship Id="rId8" Type="http://schemas.openxmlformats.org/officeDocument/2006/relationships/hyperlink" Target="https://gov.khogov.ru/documentation/npaisp/rasporyazheniya-sluzhby-czen-i-tarifov-hersonskoj-oblasti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2</Pages>
  <Words>491</Words>
  <Characters>4176</Characters>
  <CharactersWithSpaces>4640</CharactersWithSpaces>
  <Paragraphs>16</Paragraphs>
  <Company>АтомЭнергоСбыт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2024-07-10T13:01:00Z</dcterms:created>
  <dc:creator>Стычинский Алексей Константинович</dc:creator>
  <dc:description/>
  <dc:language>ru-RU</dc:language>
  <cp:lastModifiedBy>Стычинский Алексей Константинович</cp:lastModifiedBy>
  <dcterms:modified xsi:type="dcterms:W3CDTF">2024-07-10T13:01:00Z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